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5AF" w:rsidRPr="004B7D50" w:rsidRDefault="004B7D50" w:rsidP="004B7D50">
      <w:pPr>
        <w:jc w:val="center"/>
        <w:rPr>
          <w:rFonts w:ascii="黑体" w:eastAsia="黑体"/>
          <w:sz w:val="28"/>
          <w:szCs w:val="28"/>
        </w:rPr>
      </w:pPr>
      <w:r w:rsidRPr="004B7D50">
        <w:rPr>
          <w:rFonts w:ascii="黑体" w:eastAsia="黑体" w:hint="eastAsia"/>
          <w:sz w:val="28"/>
          <w:szCs w:val="28"/>
        </w:rPr>
        <w:t>减免税进口仪器、设备说明</w:t>
      </w:r>
    </w:p>
    <w:tbl>
      <w:tblPr>
        <w:tblStyle w:val="a3"/>
        <w:tblW w:w="8897" w:type="dxa"/>
        <w:tblLook w:val="04A0" w:firstRow="1" w:lastRow="0" w:firstColumn="1" w:lastColumn="0" w:noHBand="0" w:noVBand="1"/>
      </w:tblPr>
      <w:tblGrid>
        <w:gridCol w:w="1384"/>
        <w:gridCol w:w="1843"/>
        <w:gridCol w:w="631"/>
        <w:gridCol w:w="78"/>
        <w:gridCol w:w="2254"/>
        <w:gridCol w:w="2707"/>
      </w:tblGrid>
      <w:tr w:rsidR="00635025" w:rsidRPr="001F2687" w:rsidTr="000C6E7E">
        <w:tc>
          <w:tcPr>
            <w:tcW w:w="3936" w:type="dxa"/>
            <w:gridSpan w:val="4"/>
            <w:vMerge w:val="restart"/>
            <w:vAlign w:val="center"/>
          </w:tcPr>
          <w:p w:rsidR="00635025" w:rsidRPr="001F2687" w:rsidRDefault="00635025" w:rsidP="004B7D50">
            <w:pPr>
              <w:rPr>
                <w:rFonts w:ascii="Calibri" w:eastAsia="宋体" w:hAnsi="Calibri" w:cs="Arial"/>
                <w:sz w:val="24"/>
                <w:szCs w:val="24"/>
              </w:rPr>
            </w:pPr>
            <w:r w:rsidRPr="001F2687">
              <w:rPr>
                <w:rFonts w:ascii="Calibri" w:eastAsia="宋体" w:hAnsi="Calibri" w:cs="Arial"/>
                <w:b/>
                <w:sz w:val="24"/>
                <w:szCs w:val="24"/>
              </w:rPr>
              <w:t>商品名称：</w:t>
            </w:r>
            <w:r w:rsidRPr="001F2687">
              <w:rPr>
                <w:rFonts w:ascii="Calibri" w:eastAsia="宋体" w:hAnsi="Calibri" w:cs="Arial" w:hint="eastAsia"/>
                <w:sz w:val="24"/>
                <w:szCs w:val="24"/>
              </w:rPr>
              <w:t>水平</w:t>
            </w:r>
            <w:r w:rsidRPr="001F2687">
              <w:rPr>
                <w:rFonts w:ascii="Calibri" w:eastAsia="宋体" w:hAnsi="Calibri" w:cs="Arial"/>
                <w:sz w:val="24"/>
                <w:szCs w:val="24"/>
              </w:rPr>
              <w:t>电泳系统</w:t>
            </w:r>
          </w:p>
          <w:p w:rsidR="00635025" w:rsidRPr="001F2687" w:rsidRDefault="00635025" w:rsidP="00D506B2">
            <w:pPr>
              <w:rPr>
                <w:sz w:val="24"/>
                <w:szCs w:val="24"/>
              </w:rPr>
            </w:pPr>
            <w:r w:rsidRPr="001F2687">
              <w:rPr>
                <w:rFonts w:ascii="Calibri" w:eastAsia="宋体" w:hAnsi="Calibri" w:cs="Arial" w:hint="eastAsia"/>
                <w:b/>
                <w:sz w:val="24"/>
                <w:szCs w:val="24"/>
              </w:rPr>
              <w:t>型</w:t>
            </w:r>
            <w:r w:rsidRPr="001F2687">
              <w:rPr>
                <w:rFonts w:ascii="Calibri" w:eastAsia="宋体" w:hAnsi="Calibri" w:cs="Arial" w:hint="eastAsia"/>
                <w:b/>
                <w:sz w:val="24"/>
                <w:szCs w:val="24"/>
              </w:rPr>
              <w:t xml:space="preserve">  </w:t>
            </w:r>
            <w:r w:rsidRPr="001F2687">
              <w:rPr>
                <w:rFonts w:ascii="Calibri" w:eastAsia="宋体" w:hAnsi="Calibri" w:cs="Arial" w:hint="eastAsia"/>
                <w:b/>
                <w:sz w:val="24"/>
                <w:szCs w:val="24"/>
              </w:rPr>
              <w:t>号</w:t>
            </w:r>
            <w:r w:rsidRPr="001F2687">
              <w:rPr>
                <w:rFonts w:ascii="Calibri" w:eastAsia="宋体" w:hAnsi="Calibri" w:cs="Arial" w:hint="eastAsia"/>
                <w:sz w:val="24"/>
                <w:szCs w:val="24"/>
              </w:rPr>
              <w:t>：</w:t>
            </w:r>
            <w:r w:rsidRPr="001F2687">
              <w:rPr>
                <w:rFonts w:ascii="Calibri" w:eastAsia="宋体" w:hAnsi="Calibri" w:cs="Arial"/>
                <w:sz w:val="24"/>
                <w:szCs w:val="24"/>
              </w:rPr>
              <w:t>Horizontal Electrophoresis</w:t>
            </w:r>
          </w:p>
        </w:tc>
        <w:tc>
          <w:tcPr>
            <w:tcW w:w="4961" w:type="dxa"/>
            <w:gridSpan w:val="2"/>
            <w:vAlign w:val="center"/>
          </w:tcPr>
          <w:p w:rsidR="00635025" w:rsidRPr="001F2687" w:rsidRDefault="00635025" w:rsidP="0085609C">
            <w:pPr>
              <w:spacing w:line="276" w:lineRule="auto"/>
              <w:rPr>
                <w:rFonts w:cs="Arial"/>
                <w:color w:val="000000"/>
                <w:sz w:val="24"/>
                <w:szCs w:val="24"/>
              </w:rPr>
            </w:pPr>
            <w:r w:rsidRPr="001F2687">
              <w:rPr>
                <w:rFonts w:cs="Arial"/>
                <w:color w:val="000000"/>
                <w:sz w:val="24"/>
                <w:szCs w:val="24"/>
              </w:rPr>
              <w:t>联系人：</w:t>
            </w:r>
            <w:r w:rsidRPr="001F2687">
              <w:rPr>
                <w:rFonts w:cs="Arial"/>
                <w:color w:val="000000"/>
                <w:sz w:val="24"/>
                <w:szCs w:val="24"/>
              </w:rPr>
              <w:t xml:space="preserve"> </w:t>
            </w:r>
          </w:p>
        </w:tc>
      </w:tr>
      <w:tr w:rsidR="00635025" w:rsidRPr="001F2687" w:rsidTr="000C6E7E">
        <w:tc>
          <w:tcPr>
            <w:tcW w:w="3936" w:type="dxa"/>
            <w:gridSpan w:val="4"/>
            <w:vMerge/>
            <w:vAlign w:val="center"/>
          </w:tcPr>
          <w:p w:rsidR="00635025" w:rsidRPr="001F2687" w:rsidRDefault="00635025" w:rsidP="004B7D50">
            <w:pPr>
              <w:rPr>
                <w:sz w:val="24"/>
                <w:szCs w:val="24"/>
              </w:rPr>
            </w:pPr>
          </w:p>
        </w:tc>
        <w:tc>
          <w:tcPr>
            <w:tcW w:w="4961" w:type="dxa"/>
            <w:gridSpan w:val="2"/>
            <w:vAlign w:val="center"/>
          </w:tcPr>
          <w:p w:rsidR="00635025" w:rsidRPr="001F2687" w:rsidRDefault="00635025" w:rsidP="0085609C">
            <w:pPr>
              <w:spacing w:line="276" w:lineRule="auto"/>
              <w:rPr>
                <w:rFonts w:cs="Arial"/>
                <w:color w:val="000000"/>
                <w:sz w:val="24"/>
                <w:szCs w:val="24"/>
              </w:rPr>
            </w:pPr>
            <w:r w:rsidRPr="001F2687">
              <w:rPr>
                <w:rFonts w:cs="Arial"/>
                <w:color w:val="000000"/>
                <w:sz w:val="24"/>
                <w:szCs w:val="24"/>
              </w:rPr>
              <w:t>联系方式：</w:t>
            </w:r>
          </w:p>
        </w:tc>
      </w:tr>
      <w:tr w:rsidR="004B7D50" w:rsidRPr="001F2687" w:rsidTr="000C6E7E">
        <w:tc>
          <w:tcPr>
            <w:tcW w:w="1384" w:type="dxa"/>
            <w:vAlign w:val="center"/>
          </w:tcPr>
          <w:p w:rsidR="004B7D50" w:rsidRPr="001F2687" w:rsidRDefault="004B7D50" w:rsidP="004B7D50">
            <w:pPr>
              <w:rPr>
                <w:b/>
                <w:sz w:val="24"/>
                <w:szCs w:val="24"/>
              </w:rPr>
            </w:pPr>
            <w:r w:rsidRPr="001F2687">
              <w:rPr>
                <w:rFonts w:ascii="Calibri" w:hAnsi="Calibri" w:cs="Arial"/>
                <w:b/>
                <w:color w:val="000000"/>
                <w:sz w:val="24"/>
                <w:szCs w:val="24"/>
              </w:rPr>
              <w:t>组成部分</w:t>
            </w:r>
          </w:p>
        </w:tc>
        <w:tc>
          <w:tcPr>
            <w:tcW w:w="7513" w:type="dxa"/>
            <w:gridSpan w:val="5"/>
            <w:vAlign w:val="center"/>
          </w:tcPr>
          <w:p w:rsidR="00D506B2" w:rsidRPr="001F2687" w:rsidRDefault="004B7D50" w:rsidP="004B7D50">
            <w:pPr>
              <w:rPr>
                <w:sz w:val="24"/>
                <w:szCs w:val="24"/>
              </w:rPr>
            </w:pPr>
            <w:r w:rsidRPr="001F2687">
              <w:rPr>
                <w:rFonts w:hint="eastAsia"/>
                <w:sz w:val="24"/>
                <w:szCs w:val="24"/>
              </w:rPr>
              <w:t>系统包括</w:t>
            </w:r>
            <w:proofErr w:type="spellStart"/>
            <w:r w:rsidRPr="001F2687">
              <w:rPr>
                <w:rFonts w:hint="eastAsia"/>
                <w:sz w:val="24"/>
                <w:szCs w:val="24"/>
              </w:rPr>
              <w:t>PowerPac</w:t>
            </w:r>
            <w:proofErr w:type="spellEnd"/>
            <w:r w:rsidRPr="001F2687">
              <w:rPr>
                <w:rFonts w:hint="eastAsia"/>
                <w:sz w:val="24"/>
                <w:szCs w:val="24"/>
              </w:rPr>
              <w:t xml:space="preserve"> Basic Power Supply</w:t>
            </w:r>
            <w:r w:rsidRPr="001F2687">
              <w:rPr>
                <w:rFonts w:hint="eastAsia"/>
                <w:sz w:val="24"/>
                <w:szCs w:val="24"/>
              </w:rPr>
              <w:t>电泳</w:t>
            </w:r>
            <w:r w:rsidR="000C6E7E" w:rsidRPr="001F2687">
              <w:rPr>
                <w:rFonts w:hint="eastAsia"/>
                <w:sz w:val="24"/>
                <w:szCs w:val="24"/>
              </w:rPr>
              <w:t>电源</w:t>
            </w:r>
            <w:r w:rsidRPr="001F2687">
              <w:rPr>
                <w:rFonts w:hint="eastAsia"/>
                <w:sz w:val="24"/>
                <w:szCs w:val="24"/>
              </w:rPr>
              <w:t>、</w:t>
            </w:r>
            <w:r w:rsidR="00D506B2" w:rsidRPr="001F2687">
              <w:rPr>
                <w:rFonts w:hint="eastAsia"/>
                <w:sz w:val="24"/>
                <w:szCs w:val="24"/>
              </w:rPr>
              <w:t>宽式</w:t>
            </w:r>
            <w:r w:rsidR="00D506B2" w:rsidRPr="001F2687">
              <w:rPr>
                <w:rFonts w:hint="eastAsia"/>
                <w:sz w:val="24"/>
                <w:szCs w:val="24"/>
              </w:rPr>
              <w:t xml:space="preserve">Mini-Sub Cell GT </w:t>
            </w:r>
            <w:r w:rsidR="00D506B2" w:rsidRPr="001F2687">
              <w:rPr>
                <w:rFonts w:hint="eastAsia"/>
                <w:sz w:val="24"/>
                <w:szCs w:val="24"/>
              </w:rPr>
              <w:t>电泳槽</w:t>
            </w:r>
            <w:r w:rsidRPr="001F2687">
              <w:rPr>
                <w:rFonts w:hint="eastAsia"/>
                <w:sz w:val="24"/>
                <w:szCs w:val="24"/>
              </w:rPr>
              <w:t>组件。</w:t>
            </w:r>
          </w:p>
          <w:p w:rsidR="004B7D50" w:rsidRPr="001F2687" w:rsidRDefault="004B7D50" w:rsidP="004B7D50">
            <w:pPr>
              <w:rPr>
                <w:sz w:val="24"/>
                <w:szCs w:val="24"/>
              </w:rPr>
            </w:pPr>
            <w:r w:rsidRPr="001F2687">
              <w:rPr>
                <w:rFonts w:hint="eastAsia"/>
                <w:sz w:val="24"/>
                <w:szCs w:val="24"/>
              </w:rPr>
              <w:t>1</w:t>
            </w:r>
            <w:r w:rsidR="00635025" w:rsidRPr="001F2687">
              <w:rPr>
                <w:rFonts w:hint="eastAsia"/>
                <w:sz w:val="24"/>
                <w:szCs w:val="24"/>
              </w:rPr>
              <w:t>）电泳电源可将普通交流电转换为</w:t>
            </w:r>
            <w:r w:rsidRPr="001F2687">
              <w:rPr>
                <w:rFonts w:hint="eastAsia"/>
                <w:sz w:val="24"/>
                <w:szCs w:val="24"/>
              </w:rPr>
              <w:t>恒压、恒流和</w:t>
            </w:r>
            <w:proofErr w:type="gramStart"/>
            <w:r w:rsidRPr="001F2687">
              <w:rPr>
                <w:rFonts w:hint="eastAsia"/>
                <w:sz w:val="24"/>
                <w:szCs w:val="24"/>
              </w:rPr>
              <w:t>恒功率</w:t>
            </w:r>
            <w:proofErr w:type="gramEnd"/>
            <w:r w:rsidRPr="001F2687">
              <w:rPr>
                <w:rFonts w:hint="eastAsia"/>
                <w:sz w:val="24"/>
                <w:szCs w:val="24"/>
              </w:rPr>
              <w:t>的“三恒”直流电输出到电泳槽，以产生稳定均匀的电场。</w:t>
            </w:r>
          </w:p>
          <w:p w:rsidR="004B7D50" w:rsidRPr="001F2687" w:rsidRDefault="004B7D50" w:rsidP="000C6E7E">
            <w:pPr>
              <w:rPr>
                <w:sz w:val="24"/>
                <w:szCs w:val="24"/>
              </w:rPr>
            </w:pPr>
            <w:r w:rsidRPr="001F2687">
              <w:rPr>
                <w:rFonts w:hint="eastAsia"/>
                <w:sz w:val="24"/>
                <w:szCs w:val="24"/>
              </w:rPr>
              <w:t>2</w:t>
            </w:r>
            <w:r w:rsidRPr="001F2687">
              <w:rPr>
                <w:rFonts w:hint="eastAsia"/>
                <w:sz w:val="24"/>
                <w:szCs w:val="24"/>
              </w:rPr>
              <w:t>）</w:t>
            </w:r>
            <w:r w:rsidR="000C6E7E" w:rsidRPr="001F2687">
              <w:rPr>
                <w:rFonts w:hint="eastAsia"/>
                <w:sz w:val="24"/>
                <w:szCs w:val="24"/>
              </w:rPr>
              <w:t>电泳槽为电泳介质提供缓冲液和稳定电场的支持。采用在</w:t>
            </w:r>
            <w:r w:rsidRPr="001F2687">
              <w:rPr>
                <w:rFonts w:hint="eastAsia"/>
                <w:sz w:val="24"/>
                <w:szCs w:val="24"/>
              </w:rPr>
              <w:t>两块玻璃板中间填充琼脂糖凝胶、</w:t>
            </w:r>
            <w:r w:rsidRPr="001F2687">
              <w:rPr>
                <w:rFonts w:hint="eastAsia"/>
                <w:sz w:val="24"/>
                <w:szCs w:val="24"/>
              </w:rPr>
              <w:t>PAGE</w:t>
            </w:r>
            <w:r w:rsidR="000C6E7E" w:rsidRPr="001F2687">
              <w:rPr>
                <w:rFonts w:hint="eastAsia"/>
                <w:sz w:val="24"/>
                <w:szCs w:val="24"/>
              </w:rPr>
              <w:t>凝胶</w:t>
            </w:r>
            <w:r w:rsidRPr="001F2687">
              <w:rPr>
                <w:rFonts w:hint="eastAsia"/>
                <w:sz w:val="24"/>
                <w:szCs w:val="24"/>
              </w:rPr>
              <w:t>等常用电泳支持介质</w:t>
            </w:r>
            <w:r w:rsidR="000C6E7E" w:rsidRPr="001F2687">
              <w:rPr>
                <w:rFonts w:hint="eastAsia"/>
                <w:sz w:val="24"/>
                <w:szCs w:val="24"/>
              </w:rPr>
              <w:t>，电泳样品加载在凝胶一端，</w:t>
            </w:r>
            <w:r w:rsidRPr="001F2687">
              <w:rPr>
                <w:rFonts w:hint="eastAsia"/>
                <w:sz w:val="24"/>
                <w:szCs w:val="24"/>
              </w:rPr>
              <w:t>凝胶介质整体置于电泳槽中进行</w:t>
            </w:r>
            <w:r w:rsidR="000C6E7E" w:rsidRPr="001F2687">
              <w:rPr>
                <w:rFonts w:hint="eastAsia"/>
                <w:sz w:val="24"/>
                <w:szCs w:val="24"/>
              </w:rPr>
              <w:t>；</w:t>
            </w:r>
            <w:r w:rsidRPr="001F2687">
              <w:rPr>
                <w:rFonts w:hint="eastAsia"/>
                <w:sz w:val="24"/>
                <w:szCs w:val="24"/>
              </w:rPr>
              <w:t>槽中灌装电泳缓冲液</w:t>
            </w:r>
            <w:r w:rsidR="000C6E7E" w:rsidRPr="001F2687">
              <w:rPr>
                <w:rFonts w:hint="eastAsia"/>
                <w:sz w:val="24"/>
                <w:szCs w:val="24"/>
              </w:rPr>
              <w:t>，</w:t>
            </w:r>
            <w:r w:rsidRPr="001F2687">
              <w:rPr>
                <w:rFonts w:hint="eastAsia"/>
                <w:sz w:val="24"/>
                <w:szCs w:val="24"/>
              </w:rPr>
              <w:t>用以维持电泳过程中</w:t>
            </w:r>
            <w:r w:rsidRPr="001F2687">
              <w:rPr>
                <w:rFonts w:hint="eastAsia"/>
                <w:sz w:val="24"/>
                <w:szCs w:val="24"/>
              </w:rPr>
              <w:t>pH</w:t>
            </w:r>
            <w:r w:rsidRPr="001F2687">
              <w:rPr>
                <w:rFonts w:hint="eastAsia"/>
                <w:sz w:val="24"/>
                <w:szCs w:val="24"/>
              </w:rPr>
              <w:t>值的稳定和吸收电泳中样品的热量。</w:t>
            </w:r>
            <w:r w:rsidR="000C6E7E" w:rsidRPr="001F2687">
              <w:rPr>
                <w:rFonts w:hint="eastAsia"/>
                <w:sz w:val="24"/>
                <w:szCs w:val="24"/>
              </w:rPr>
              <w:t>通电后，待分离的样品，从</w:t>
            </w:r>
            <w:proofErr w:type="gramStart"/>
            <w:r w:rsidRPr="001F2687">
              <w:rPr>
                <w:rFonts w:hint="eastAsia"/>
                <w:sz w:val="24"/>
                <w:szCs w:val="24"/>
              </w:rPr>
              <w:t>电泳槽</w:t>
            </w:r>
            <w:r w:rsidR="000C6E7E" w:rsidRPr="001F2687">
              <w:rPr>
                <w:rFonts w:hint="eastAsia"/>
                <w:sz w:val="24"/>
                <w:szCs w:val="24"/>
              </w:rPr>
              <w:t>负</w:t>
            </w:r>
            <w:proofErr w:type="gramEnd"/>
            <w:r w:rsidR="000C6E7E" w:rsidRPr="001F2687">
              <w:rPr>
                <w:rFonts w:hint="eastAsia"/>
                <w:sz w:val="24"/>
                <w:szCs w:val="24"/>
              </w:rPr>
              <w:t>/</w:t>
            </w:r>
            <w:r w:rsidR="000C6E7E" w:rsidRPr="001F2687">
              <w:rPr>
                <w:rFonts w:hint="eastAsia"/>
                <w:sz w:val="24"/>
                <w:szCs w:val="24"/>
              </w:rPr>
              <w:t>正极</w:t>
            </w:r>
            <w:r w:rsidR="000C6E7E" w:rsidRPr="001F2687">
              <w:rPr>
                <w:rFonts w:hint="eastAsia"/>
                <w:sz w:val="24"/>
                <w:szCs w:val="24"/>
              </w:rPr>
              <w:t>通过</w:t>
            </w:r>
            <w:proofErr w:type="gramStart"/>
            <w:r w:rsidR="000C6E7E" w:rsidRPr="001F2687">
              <w:rPr>
                <w:rFonts w:hint="eastAsia"/>
                <w:sz w:val="24"/>
                <w:szCs w:val="24"/>
              </w:rPr>
              <w:t>凝胶</w:t>
            </w:r>
            <w:r w:rsidR="000C6E7E" w:rsidRPr="001F2687">
              <w:rPr>
                <w:rFonts w:hint="eastAsia"/>
                <w:sz w:val="24"/>
                <w:szCs w:val="24"/>
              </w:rPr>
              <w:t>泳</w:t>
            </w:r>
            <w:r w:rsidR="000C6E7E" w:rsidRPr="001F2687">
              <w:rPr>
                <w:rFonts w:hint="eastAsia"/>
                <w:sz w:val="24"/>
                <w:szCs w:val="24"/>
              </w:rPr>
              <w:t>动</w:t>
            </w:r>
            <w:r w:rsidR="000C6E7E" w:rsidRPr="001F2687">
              <w:rPr>
                <w:rFonts w:hint="eastAsia"/>
                <w:sz w:val="24"/>
                <w:szCs w:val="24"/>
              </w:rPr>
              <w:t>到</w:t>
            </w:r>
            <w:proofErr w:type="gramEnd"/>
            <w:r w:rsidR="000C6E7E" w:rsidRPr="001F2687">
              <w:rPr>
                <w:rFonts w:hint="eastAsia"/>
                <w:sz w:val="24"/>
                <w:szCs w:val="24"/>
              </w:rPr>
              <w:t>正</w:t>
            </w:r>
            <w:r w:rsidR="000C6E7E" w:rsidRPr="001F2687">
              <w:rPr>
                <w:rFonts w:hint="eastAsia"/>
                <w:sz w:val="24"/>
                <w:szCs w:val="24"/>
              </w:rPr>
              <w:t>/</w:t>
            </w:r>
            <w:r w:rsidR="000C6E7E" w:rsidRPr="001F2687">
              <w:rPr>
                <w:rFonts w:hint="eastAsia"/>
                <w:sz w:val="24"/>
                <w:szCs w:val="24"/>
              </w:rPr>
              <w:t>负极。</w:t>
            </w:r>
            <w:r w:rsidRPr="001F2687">
              <w:rPr>
                <w:rFonts w:hint="eastAsia"/>
                <w:sz w:val="24"/>
                <w:szCs w:val="24"/>
              </w:rPr>
              <w:t>作为一个完整功能组件，</w:t>
            </w:r>
            <w:r w:rsidR="000C6E7E" w:rsidRPr="001F2687">
              <w:rPr>
                <w:rFonts w:hint="eastAsia"/>
                <w:sz w:val="24"/>
                <w:szCs w:val="24"/>
              </w:rPr>
              <w:t>电泳</w:t>
            </w:r>
            <w:proofErr w:type="gramStart"/>
            <w:r w:rsidR="000C6E7E" w:rsidRPr="001F2687">
              <w:rPr>
                <w:rFonts w:hint="eastAsia"/>
                <w:sz w:val="24"/>
                <w:szCs w:val="24"/>
              </w:rPr>
              <w:t>槽</w:t>
            </w:r>
            <w:r w:rsidRPr="001F2687">
              <w:rPr>
                <w:rFonts w:hint="eastAsia"/>
                <w:sz w:val="24"/>
                <w:szCs w:val="24"/>
              </w:rPr>
              <w:t>包括</w:t>
            </w:r>
            <w:proofErr w:type="gramEnd"/>
            <w:r w:rsidRPr="001F2687">
              <w:rPr>
                <w:rFonts w:hint="eastAsia"/>
                <w:sz w:val="24"/>
                <w:szCs w:val="24"/>
              </w:rPr>
              <w:t>电源线、槽盖、槽体、制胶槽、电泳梳等标准附件，</w:t>
            </w:r>
            <w:r w:rsidR="000C6E7E" w:rsidRPr="001F2687">
              <w:rPr>
                <w:rFonts w:hint="eastAsia"/>
                <w:sz w:val="24"/>
                <w:szCs w:val="24"/>
              </w:rPr>
              <w:t>可</w:t>
            </w:r>
            <w:r w:rsidRPr="001F2687">
              <w:rPr>
                <w:rFonts w:hint="eastAsia"/>
                <w:sz w:val="24"/>
                <w:szCs w:val="24"/>
              </w:rPr>
              <w:t>完成制胶、</w:t>
            </w:r>
            <w:proofErr w:type="gramStart"/>
            <w:r w:rsidRPr="001F2687">
              <w:rPr>
                <w:rFonts w:hint="eastAsia"/>
                <w:sz w:val="24"/>
                <w:szCs w:val="24"/>
              </w:rPr>
              <w:t>跑胶流程</w:t>
            </w:r>
            <w:proofErr w:type="gramEnd"/>
            <w:r w:rsidRPr="001F2687">
              <w:rPr>
                <w:rFonts w:hint="eastAsia"/>
                <w:sz w:val="24"/>
                <w:szCs w:val="24"/>
              </w:rPr>
              <w:t>。</w:t>
            </w:r>
            <w:proofErr w:type="gramStart"/>
            <w:r w:rsidRPr="001F2687">
              <w:rPr>
                <w:rFonts w:hint="eastAsia"/>
                <w:sz w:val="24"/>
                <w:szCs w:val="24"/>
              </w:rPr>
              <w:t>电泳槽</w:t>
            </w:r>
            <w:r w:rsidR="000C6E7E" w:rsidRPr="001F2687">
              <w:rPr>
                <w:rFonts w:hint="eastAsia"/>
                <w:sz w:val="24"/>
                <w:szCs w:val="24"/>
              </w:rPr>
              <w:t>最常见</w:t>
            </w:r>
            <w:proofErr w:type="gramEnd"/>
            <w:r w:rsidR="000C6E7E" w:rsidRPr="001F2687">
              <w:rPr>
                <w:rFonts w:hint="eastAsia"/>
                <w:sz w:val="24"/>
                <w:szCs w:val="24"/>
              </w:rPr>
              <w:t>的是</w:t>
            </w:r>
            <w:r w:rsidRPr="001F2687">
              <w:rPr>
                <w:rFonts w:hint="eastAsia"/>
                <w:sz w:val="24"/>
                <w:szCs w:val="24"/>
              </w:rPr>
              <w:t>水平式和垂直式两</w:t>
            </w:r>
            <w:r w:rsidR="000C6E7E" w:rsidRPr="001F2687">
              <w:rPr>
                <w:rFonts w:hint="eastAsia"/>
                <w:sz w:val="24"/>
                <w:szCs w:val="24"/>
              </w:rPr>
              <w:t>种，</w:t>
            </w:r>
            <w:r w:rsidRPr="001F2687">
              <w:rPr>
                <w:rFonts w:hint="eastAsia"/>
                <w:sz w:val="24"/>
                <w:szCs w:val="24"/>
              </w:rPr>
              <w:t>垂直板式电泳常采用聚丙烯酰胺凝胶介质来分离蛋白质，水平式电泳槽则常用于核酸的分离。</w:t>
            </w:r>
          </w:p>
        </w:tc>
      </w:tr>
      <w:tr w:rsidR="004B7D50" w:rsidRPr="001F2687" w:rsidTr="000C6E7E">
        <w:tc>
          <w:tcPr>
            <w:tcW w:w="1384" w:type="dxa"/>
            <w:vAlign w:val="center"/>
          </w:tcPr>
          <w:p w:rsidR="004B7D50" w:rsidRPr="001F2687" w:rsidRDefault="004B7D50" w:rsidP="004B7D50">
            <w:pPr>
              <w:rPr>
                <w:b/>
                <w:sz w:val="24"/>
                <w:szCs w:val="24"/>
              </w:rPr>
            </w:pPr>
            <w:r w:rsidRPr="001F2687">
              <w:rPr>
                <w:rFonts w:hint="eastAsia"/>
                <w:b/>
                <w:sz w:val="24"/>
                <w:szCs w:val="24"/>
              </w:rPr>
              <w:t>工作原理</w:t>
            </w:r>
          </w:p>
        </w:tc>
        <w:tc>
          <w:tcPr>
            <w:tcW w:w="7513" w:type="dxa"/>
            <w:gridSpan w:val="5"/>
            <w:vAlign w:val="center"/>
          </w:tcPr>
          <w:p w:rsidR="004B7D50" w:rsidRPr="001F2687" w:rsidRDefault="00FD53A4" w:rsidP="00FD53A4">
            <w:pPr>
              <w:rPr>
                <w:sz w:val="24"/>
                <w:szCs w:val="24"/>
              </w:rPr>
            </w:pPr>
            <w:r w:rsidRPr="001F2687">
              <w:rPr>
                <w:rFonts w:hint="eastAsia"/>
                <w:sz w:val="24"/>
                <w:szCs w:val="24"/>
              </w:rPr>
              <w:t>电泳是一种带电分子在电场中向着电性相反的电极移动的现象。利用电泳现象进行物质分离的技术，称电泳技术。</w:t>
            </w:r>
            <w:r w:rsidR="00115194" w:rsidRPr="001F2687">
              <w:rPr>
                <w:rFonts w:hint="eastAsia"/>
                <w:sz w:val="24"/>
                <w:szCs w:val="24"/>
              </w:rPr>
              <w:t>不同物质由于所带电荷及分子量的不同，因此在电场中运动速度不同在确定的条件下，带电粒子在单位电场强度作用下，会</w:t>
            </w:r>
            <w:r w:rsidR="007958BE" w:rsidRPr="001F2687">
              <w:rPr>
                <w:rFonts w:hint="eastAsia"/>
                <w:sz w:val="24"/>
                <w:szCs w:val="24"/>
              </w:rPr>
              <w:t>克服电泳</w:t>
            </w:r>
            <w:r w:rsidR="007958BE" w:rsidRPr="001F2687">
              <w:rPr>
                <w:rFonts w:hint="eastAsia"/>
                <w:sz w:val="24"/>
                <w:szCs w:val="24"/>
              </w:rPr>
              <w:t>支持介质如琼脂糖凝胶和聚丙烯酰胺胶等介质粘度</w:t>
            </w:r>
            <w:r w:rsidR="007958BE" w:rsidRPr="001F2687">
              <w:rPr>
                <w:rFonts w:hint="eastAsia"/>
                <w:sz w:val="24"/>
                <w:szCs w:val="24"/>
              </w:rPr>
              <w:t>、摩擦阻力</w:t>
            </w:r>
            <w:r w:rsidR="007958BE" w:rsidRPr="001F2687">
              <w:rPr>
                <w:rFonts w:hint="eastAsia"/>
                <w:sz w:val="24"/>
                <w:szCs w:val="24"/>
              </w:rPr>
              <w:t>，</w:t>
            </w:r>
            <w:r w:rsidR="00115194" w:rsidRPr="001F2687">
              <w:rPr>
                <w:rFonts w:hint="eastAsia"/>
                <w:sz w:val="24"/>
                <w:szCs w:val="24"/>
              </w:rPr>
              <w:t>以一定的速度移向适当的电极，</w:t>
            </w:r>
            <w:r w:rsidR="007958BE" w:rsidRPr="001F2687">
              <w:rPr>
                <w:rFonts w:hint="eastAsia"/>
                <w:sz w:val="24"/>
                <w:szCs w:val="24"/>
              </w:rPr>
              <w:t>而其</w:t>
            </w:r>
            <w:r w:rsidR="00115194" w:rsidRPr="001F2687">
              <w:rPr>
                <w:rFonts w:hint="eastAsia"/>
                <w:sz w:val="24"/>
                <w:szCs w:val="24"/>
              </w:rPr>
              <w:t>单位时间内移动的距离（即迁移率）为特征性</w:t>
            </w:r>
            <w:r w:rsidR="007958BE" w:rsidRPr="001F2687">
              <w:rPr>
                <w:rFonts w:hint="eastAsia"/>
                <w:sz w:val="24"/>
                <w:szCs w:val="24"/>
              </w:rPr>
              <w:t>固有</w:t>
            </w:r>
            <w:r w:rsidR="00115194" w:rsidRPr="001F2687">
              <w:rPr>
                <w:rFonts w:hint="eastAsia"/>
                <w:sz w:val="24"/>
                <w:szCs w:val="24"/>
              </w:rPr>
              <w:t>常数</w:t>
            </w:r>
            <w:r w:rsidR="007958BE" w:rsidRPr="001F2687">
              <w:rPr>
                <w:rFonts w:hint="eastAsia"/>
                <w:sz w:val="24"/>
                <w:szCs w:val="24"/>
              </w:rPr>
              <w:t>，与其</w:t>
            </w:r>
            <w:r w:rsidR="007958BE" w:rsidRPr="001F2687">
              <w:rPr>
                <w:rFonts w:hint="eastAsia"/>
                <w:sz w:val="24"/>
                <w:szCs w:val="24"/>
              </w:rPr>
              <w:t>分子大小、</w:t>
            </w:r>
            <w:r w:rsidR="007958BE" w:rsidRPr="001F2687">
              <w:rPr>
                <w:rFonts w:hint="eastAsia"/>
                <w:sz w:val="24"/>
                <w:szCs w:val="24"/>
              </w:rPr>
              <w:t>分子</w:t>
            </w:r>
            <w:r w:rsidR="007958BE" w:rsidRPr="001F2687">
              <w:rPr>
                <w:rFonts w:hint="eastAsia"/>
                <w:sz w:val="24"/>
                <w:szCs w:val="24"/>
              </w:rPr>
              <w:t>构形以及所带的净电荷的多少</w:t>
            </w:r>
            <w:r w:rsidR="007958BE" w:rsidRPr="001F2687">
              <w:rPr>
                <w:rFonts w:hint="eastAsia"/>
                <w:sz w:val="24"/>
                <w:szCs w:val="24"/>
              </w:rPr>
              <w:t>有关</w:t>
            </w:r>
            <w:r w:rsidR="007958BE" w:rsidRPr="001F2687">
              <w:rPr>
                <w:rFonts w:hint="eastAsia"/>
                <w:sz w:val="24"/>
                <w:szCs w:val="24"/>
              </w:rPr>
              <w:t>。</w:t>
            </w:r>
            <w:r w:rsidR="007958BE" w:rsidRPr="001F2687">
              <w:rPr>
                <w:rFonts w:hint="eastAsia"/>
                <w:sz w:val="24"/>
                <w:szCs w:val="24"/>
              </w:rPr>
              <w:t>当置于</w:t>
            </w:r>
            <w:r w:rsidR="00115194" w:rsidRPr="001F2687">
              <w:rPr>
                <w:rFonts w:hint="eastAsia"/>
                <w:sz w:val="24"/>
                <w:szCs w:val="24"/>
              </w:rPr>
              <w:t>在同一电场中电泳，经一定时间后，由于移动距离不同而相互分离。</w:t>
            </w:r>
          </w:p>
        </w:tc>
      </w:tr>
      <w:tr w:rsidR="004B7D50" w:rsidRPr="001F2687" w:rsidTr="000C6E7E">
        <w:tc>
          <w:tcPr>
            <w:tcW w:w="1384" w:type="dxa"/>
            <w:vAlign w:val="center"/>
          </w:tcPr>
          <w:p w:rsidR="004B7D50" w:rsidRPr="001F2687" w:rsidRDefault="004B7D50" w:rsidP="004B7D50">
            <w:pPr>
              <w:rPr>
                <w:b/>
                <w:sz w:val="24"/>
                <w:szCs w:val="24"/>
              </w:rPr>
            </w:pPr>
            <w:r w:rsidRPr="001F2687">
              <w:rPr>
                <w:rFonts w:hint="eastAsia"/>
                <w:b/>
                <w:sz w:val="24"/>
                <w:szCs w:val="24"/>
              </w:rPr>
              <w:t>主要功能</w:t>
            </w:r>
          </w:p>
        </w:tc>
        <w:tc>
          <w:tcPr>
            <w:tcW w:w="7513" w:type="dxa"/>
            <w:gridSpan w:val="5"/>
            <w:vAlign w:val="center"/>
          </w:tcPr>
          <w:p w:rsidR="004B7D50" w:rsidRPr="001F2687" w:rsidRDefault="00FD53A4" w:rsidP="00FD53A4">
            <w:pPr>
              <w:rPr>
                <w:sz w:val="24"/>
                <w:szCs w:val="24"/>
              </w:rPr>
            </w:pPr>
            <w:r w:rsidRPr="001F2687">
              <w:rPr>
                <w:rFonts w:hint="eastAsia"/>
                <w:sz w:val="24"/>
                <w:szCs w:val="24"/>
              </w:rPr>
              <w:t>蛋白质、核酸、多肽等生物分子，在特定的</w:t>
            </w:r>
            <w:r w:rsidRPr="001F2687">
              <w:rPr>
                <w:rFonts w:hint="eastAsia"/>
                <w:sz w:val="24"/>
                <w:szCs w:val="24"/>
              </w:rPr>
              <w:t>pH</w:t>
            </w:r>
            <w:r w:rsidRPr="001F2687">
              <w:rPr>
                <w:rFonts w:hint="eastAsia"/>
                <w:sz w:val="24"/>
                <w:szCs w:val="24"/>
              </w:rPr>
              <w:t>值下可以带正电或负电。在电场作用下，这些带电分子、颗粒物会向着与其所带电荷极性相反的电极方向移动。在同一电场的作用下，样品中各组份通过凝胶介质时</w:t>
            </w:r>
            <w:r w:rsidRPr="001F2687">
              <w:rPr>
                <w:rFonts w:hint="eastAsia"/>
                <w:sz w:val="24"/>
                <w:szCs w:val="24"/>
              </w:rPr>
              <w:t>电泳迁移</w:t>
            </w:r>
            <w:r w:rsidRPr="001F2687">
              <w:rPr>
                <w:rFonts w:hint="eastAsia"/>
                <w:sz w:val="24"/>
                <w:szCs w:val="24"/>
              </w:rPr>
              <w:t>速率</w:t>
            </w:r>
            <w:r w:rsidRPr="001F2687">
              <w:rPr>
                <w:rFonts w:hint="eastAsia"/>
                <w:sz w:val="24"/>
                <w:szCs w:val="24"/>
              </w:rPr>
              <w:t>不同，</w:t>
            </w:r>
            <w:r w:rsidRPr="001F2687">
              <w:rPr>
                <w:rFonts w:hint="eastAsia"/>
                <w:sz w:val="24"/>
                <w:szCs w:val="24"/>
              </w:rPr>
              <w:t>因此可以通过电泳将蛋白质或核酸分子混合物中的各种成分彼此分离开来</w:t>
            </w:r>
            <w:r w:rsidRPr="001F2687">
              <w:rPr>
                <w:rFonts w:hint="eastAsia"/>
                <w:sz w:val="24"/>
                <w:szCs w:val="24"/>
              </w:rPr>
              <w:t>，</w:t>
            </w:r>
            <w:r w:rsidRPr="001F2687">
              <w:rPr>
                <w:rFonts w:hint="eastAsia"/>
                <w:sz w:val="24"/>
                <w:szCs w:val="24"/>
              </w:rPr>
              <w:t>据此可以对不同物质进行定性或定量分析，或将一定混合物进行组分分析或单个组分提取制备。</w:t>
            </w:r>
          </w:p>
        </w:tc>
      </w:tr>
      <w:tr w:rsidR="00FD53A4" w:rsidRPr="001F2687" w:rsidTr="000C6E7E">
        <w:tc>
          <w:tcPr>
            <w:tcW w:w="1384" w:type="dxa"/>
            <w:vAlign w:val="center"/>
          </w:tcPr>
          <w:p w:rsidR="00FD53A4" w:rsidRPr="001F2687" w:rsidRDefault="00FD53A4" w:rsidP="004B7D50">
            <w:pPr>
              <w:rPr>
                <w:b/>
                <w:sz w:val="24"/>
                <w:szCs w:val="24"/>
              </w:rPr>
            </w:pPr>
            <w:r w:rsidRPr="001F2687">
              <w:rPr>
                <w:rFonts w:hint="eastAsia"/>
                <w:b/>
                <w:sz w:val="24"/>
                <w:szCs w:val="24"/>
              </w:rPr>
              <w:t>用途</w:t>
            </w:r>
          </w:p>
        </w:tc>
        <w:tc>
          <w:tcPr>
            <w:tcW w:w="7513" w:type="dxa"/>
            <w:gridSpan w:val="5"/>
            <w:vAlign w:val="center"/>
          </w:tcPr>
          <w:p w:rsidR="00FD53A4" w:rsidRPr="001F2687" w:rsidRDefault="00FD53A4" w:rsidP="00FD53A4">
            <w:pPr>
              <w:rPr>
                <w:rFonts w:hint="eastAsia"/>
                <w:sz w:val="24"/>
                <w:szCs w:val="24"/>
              </w:rPr>
            </w:pPr>
            <w:r w:rsidRPr="001F2687">
              <w:rPr>
                <w:rFonts w:hint="eastAsia"/>
                <w:sz w:val="24"/>
                <w:szCs w:val="24"/>
              </w:rPr>
              <w:t>1</w:t>
            </w:r>
            <w:r w:rsidRPr="001F2687">
              <w:rPr>
                <w:rFonts w:hint="eastAsia"/>
                <w:sz w:val="24"/>
                <w:szCs w:val="24"/>
              </w:rPr>
              <w:t>）分子生物学实验室采用电泳分离多肽、蛋白质、核酸等生物大分子，</w:t>
            </w:r>
            <w:r w:rsidR="001F2687" w:rsidRPr="001F2687">
              <w:rPr>
                <w:rFonts w:hint="eastAsia"/>
                <w:sz w:val="24"/>
                <w:szCs w:val="24"/>
              </w:rPr>
              <w:t>通过切割回收电泳后的目标样品凝胶条带，经过纯化可用于</w:t>
            </w:r>
            <w:r w:rsidRPr="001F2687">
              <w:rPr>
                <w:rFonts w:hint="eastAsia"/>
                <w:sz w:val="24"/>
                <w:szCs w:val="24"/>
              </w:rPr>
              <w:t>后续分析</w:t>
            </w:r>
            <w:r w:rsidR="001F2687" w:rsidRPr="001F2687">
              <w:rPr>
                <w:rFonts w:hint="eastAsia"/>
                <w:sz w:val="24"/>
                <w:szCs w:val="24"/>
              </w:rPr>
              <w:t>研究</w:t>
            </w:r>
            <w:r w:rsidRPr="001F2687">
              <w:rPr>
                <w:rFonts w:hint="eastAsia"/>
                <w:sz w:val="24"/>
                <w:szCs w:val="24"/>
              </w:rPr>
              <w:t>；</w:t>
            </w:r>
          </w:p>
          <w:p w:rsidR="00FD53A4" w:rsidRPr="001F2687" w:rsidRDefault="00FD53A4" w:rsidP="00FD53A4">
            <w:pPr>
              <w:rPr>
                <w:rFonts w:hint="eastAsia"/>
                <w:sz w:val="24"/>
                <w:szCs w:val="24"/>
              </w:rPr>
            </w:pPr>
            <w:r w:rsidRPr="001F2687">
              <w:rPr>
                <w:rFonts w:hint="eastAsia"/>
                <w:sz w:val="24"/>
                <w:szCs w:val="24"/>
              </w:rPr>
              <w:t>2</w:t>
            </w:r>
            <w:r w:rsidRPr="001F2687">
              <w:rPr>
                <w:rFonts w:hint="eastAsia"/>
                <w:sz w:val="24"/>
                <w:szCs w:val="24"/>
              </w:rPr>
              <w:t>）分析某种物质纯度：聚丙烯酰胺凝胶电泳可以将分子大小相同而带不同数量电荷的物质分离开，并且还可以将带相同数量电荷而分子大小不同的物质分离开。把样品在电泳系统分离后，观察是否存在多条电泳聚集条带</w:t>
            </w:r>
            <w:bookmarkStart w:id="0" w:name="_GoBack"/>
            <w:bookmarkEnd w:id="0"/>
            <w:r w:rsidRPr="001F2687">
              <w:rPr>
                <w:rFonts w:hint="eastAsia"/>
                <w:sz w:val="24"/>
                <w:szCs w:val="24"/>
              </w:rPr>
              <w:t>判定</w:t>
            </w:r>
            <w:proofErr w:type="gramStart"/>
            <w:r w:rsidRPr="001F2687">
              <w:rPr>
                <w:rFonts w:hint="eastAsia"/>
                <w:sz w:val="24"/>
                <w:szCs w:val="24"/>
              </w:rPr>
              <w:t>待分析</w:t>
            </w:r>
            <w:proofErr w:type="gramEnd"/>
            <w:r w:rsidRPr="001F2687">
              <w:rPr>
                <w:rFonts w:hint="eastAsia"/>
                <w:sz w:val="24"/>
                <w:szCs w:val="24"/>
              </w:rPr>
              <w:t>样品是否含有其他成份；</w:t>
            </w:r>
          </w:p>
          <w:p w:rsidR="00FD53A4" w:rsidRPr="001F2687" w:rsidRDefault="00FD53A4" w:rsidP="00FD53A4">
            <w:pPr>
              <w:rPr>
                <w:rFonts w:hint="eastAsia"/>
                <w:sz w:val="24"/>
                <w:szCs w:val="24"/>
              </w:rPr>
            </w:pPr>
            <w:r w:rsidRPr="001F2687">
              <w:rPr>
                <w:rFonts w:hint="eastAsia"/>
                <w:sz w:val="24"/>
                <w:szCs w:val="24"/>
              </w:rPr>
              <w:t>3</w:t>
            </w:r>
            <w:r w:rsidRPr="001F2687">
              <w:rPr>
                <w:rFonts w:hint="eastAsia"/>
                <w:sz w:val="24"/>
                <w:szCs w:val="24"/>
              </w:rPr>
              <w:t>）测定分子量：通过</w:t>
            </w:r>
            <w:r w:rsidR="001F2687" w:rsidRPr="001F2687">
              <w:rPr>
                <w:rFonts w:hint="eastAsia"/>
                <w:sz w:val="24"/>
                <w:szCs w:val="24"/>
              </w:rPr>
              <w:t>待</w:t>
            </w:r>
            <w:r w:rsidRPr="001F2687">
              <w:rPr>
                <w:rFonts w:hint="eastAsia"/>
                <w:sz w:val="24"/>
                <w:szCs w:val="24"/>
              </w:rPr>
              <w:t>测</w:t>
            </w:r>
            <w:r w:rsidR="001F2687" w:rsidRPr="001F2687">
              <w:rPr>
                <w:rFonts w:hint="eastAsia"/>
                <w:sz w:val="24"/>
                <w:szCs w:val="24"/>
              </w:rPr>
              <w:t>样品</w:t>
            </w:r>
            <w:r w:rsidRPr="001F2687">
              <w:rPr>
                <w:rFonts w:hint="eastAsia"/>
                <w:sz w:val="24"/>
                <w:szCs w:val="24"/>
              </w:rPr>
              <w:t>成份在电泳后聚集位置，与</w:t>
            </w:r>
            <w:r w:rsidR="001F2687" w:rsidRPr="001F2687">
              <w:rPr>
                <w:rFonts w:hint="eastAsia"/>
                <w:sz w:val="24"/>
                <w:szCs w:val="24"/>
              </w:rPr>
              <w:t>分子量明确的</w:t>
            </w:r>
            <w:r w:rsidRPr="001F2687">
              <w:rPr>
                <w:rFonts w:hint="eastAsia"/>
                <w:sz w:val="24"/>
                <w:szCs w:val="24"/>
              </w:rPr>
              <w:t>标准品对比</w:t>
            </w:r>
            <w:r w:rsidR="001F2687" w:rsidRPr="001F2687">
              <w:rPr>
                <w:rFonts w:hint="eastAsia"/>
                <w:sz w:val="24"/>
                <w:szCs w:val="24"/>
              </w:rPr>
              <w:t>后，</w:t>
            </w:r>
            <w:r w:rsidRPr="001F2687">
              <w:rPr>
                <w:rFonts w:hint="eastAsia"/>
                <w:sz w:val="24"/>
                <w:szCs w:val="24"/>
              </w:rPr>
              <w:t>可用于分子量的测定</w:t>
            </w:r>
            <w:r w:rsidR="001F2687" w:rsidRPr="001F2687">
              <w:rPr>
                <w:rFonts w:hint="eastAsia"/>
                <w:sz w:val="24"/>
                <w:szCs w:val="24"/>
              </w:rPr>
              <w:t>。</w:t>
            </w:r>
            <w:r w:rsidRPr="001F2687">
              <w:rPr>
                <w:rFonts w:hint="eastAsia"/>
                <w:sz w:val="24"/>
                <w:szCs w:val="24"/>
              </w:rPr>
              <w:t>SDS</w:t>
            </w:r>
            <w:r w:rsidRPr="001F2687">
              <w:rPr>
                <w:rFonts w:hint="eastAsia"/>
                <w:sz w:val="24"/>
                <w:szCs w:val="24"/>
              </w:rPr>
              <w:t>聚丙烯酰胺凝胶电泳测蛋白质分子量法</w:t>
            </w:r>
            <w:r w:rsidRPr="001F2687">
              <w:rPr>
                <w:rFonts w:hint="eastAsia"/>
                <w:sz w:val="24"/>
                <w:szCs w:val="24"/>
              </w:rPr>
              <w:t>,</w:t>
            </w:r>
            <w:r w:rsidRPr="001F2687">
              <w:rPr>
                <w:rFonts w:hint="eastAsia"/>
                <w:sz w:val="24"/>
                <w:szCs w:val="24"/>
              </w:rPr>
              <w:t>时间短，分辨率高，所需样品量极少</w:t>
            </w:r>
            <w:r w:rsidR="001F2687" w:rsidRPr="001F2687">
              <w:rPr>
                <w:rFonts w:hint="eastAsia"/>
                <w:sz w:val="24"/>
                <w:szCs w:val="24"/>
              </w:rPr>
              <w:t>。</w:t>
            </w:r>
          </w:p>
          <w:p w:rsidR="00FD53A4" w:rsidRPr="001F2687" w:rsidRDefault="00FD53A4" w:rsidP="001F2687">
            <w:pPr>
              <w:rPr>
                <w:sz w:val="24"/>
                <w:szCs w:val="24"/>
              </w:rPr>
            </w:pPr>
            <w:r w:rsidRPr="001F2687">
              <w:rPr>
                <w:rFonts w:hint="eastAsia"/>
                <w:sz w:val="24"/>
                <w:szCs w:val="24"/>
              </w:rPr>
              <w:t>4)</w:t>
            </w:r>
            <w:r w:rsidRPr="001F2687">
              <w:rPr>
                <w:rFonts w:hint="eastAsia"/>
                <w:sz w:val="24"/>
                <w:szCs w:val="24"/>
              </w:rPr>
              <w:t>琼脂糖或聚丙烯酰胺凝胶电泳用于分离、鉴定和纯化</w:t>
            </w:r>
            <w:r w:rsidRPr="001F2687">
              <w:rPr>
                <w:rFonts w:hint="eastAsia"/>
                <w:sz w:val="24"/>
                <w:szCs w:val="24"/>
              </w:rPr>
              <w:t>DNA</w:t>
            </w:r>
            <w:r w:rsidRPr="001F2687">
              <w:rPr>
                <w:rFonts w:hint="eastAsia"/>
                <w:sz w:val="24"/>
                <w:szCs w:val="24"/>
              </w:rPr>
              <w:t>片段。如</w:t>
            </w:r>
            <w:r w:rsidRPr="001F2687">
              <w:rPr>
                <w:rFonts w:hint="eastAsia"/>
                <w:sz w:val="24"/>
                <w:szCs w:val="24"/>
              </w:rPr>
              <w:t>DNA</w:t>
            </w:r>
            <w:r w:rsidRPr="001F2687">
              <w:rPr>
                <w:rFonts w:hint="eastAsia"/>
                <w:sz w:val="24"/>
                <w:szCs w:val="24"/>
              </w:rPr>
              <w:t>重组、</w:t>
            </w:r>
            <w:r w:rsidRPr="001F2687">
              <w:rPr>
                <w:rFonts w:hint="eastAsia"/>
                <w:sz w:val="24"/>
                <w:szCs w:val="24"/>
              </w:rPr>
              <w:t>DNA</w:t>
            </w:r>
            <w:r w:rsidRPr="001F2687">
              <w:rPr>
                <w:rFonts w:hint="eastAsia"/>
                <w:sz w:val="24"/>
                <w:szCs w:val="24"/>
              </w:rPr>
              <w:t>核苷酸序列分析、</w:t>
            </w:r>
            <w:r w:rsidRPr="001F2687">
              <w:rPr>
                <w:rFonts w:hint="eastAsia"/>
                <w:sz w:val="24"/>
                <w:szCs w:val="24"/>
              </w:rPr>
              <w:t>DNA</w:t>
            </w:r>
            <w:r w:rsidRPr="001F2687">
              <w:rPr>
                <w:rFonts w:hint="eastAsia"/>
                <w:sz w:val="24"/>
                <w:szCs w:val="24"/>
              </w:rPr>
              <w:t>限制性内切酶分析及限制性酶切作图等的技术基础。</w:t>
            </w:r>
          </w:p>
        </w:tc>
      </w:tr>
      <w:tr w:rsidR="00FD53A4" w:rsidRPr="001F2687" w:rsidTr="000C6E7E">
        <w:tc>
          <w:tcPr>
            <w:tcW w:w="1384" w:type="dxa"/>
            <w:vMerge w:val="restart"/>
            <w:vAlign w:val="center"/>
          </w:tcPr>
          <w:p w:rsidR="00FD53A4" w:rsidRPr="001F2687" w:rsidRDefault="00FD53A4" w:rsidP="004B7D50">
            <w:pPr>
              <w:rPr>
                <w:b/>
                <w:sz w:val="24"/>
                <w:szCs w:val="24"/>
              </w:rPr>
            </w:pPr>
            <w:r w:rsidRPr="001F2687">
              <w:rPr>
                <w:rFonts w:hint="eastAsia"/>
                <w:b/>
                <w:sz w:val="24"/>
                <w:szCs w:val="24"/>
              </w:rPr>
              <w:lastRenderedPageBreak/>
              <w:t>商品归属</w:t>
            </w:r>
          </w:p>
        </w:tc>
        <w:tc>
          <w:tcPr>
            <w:tcW w:w="1843" w:type="dxa"/>
            <w:vAlign w:val="center"/>
          </w:tcPr>
          <w:p w:rsidR="00FD53A4" w:rsidRPr="001F2687" w:rsidRDefault="00FD53A4" w:rsidP="004B7D50">
            <w:pPr>
              <w:rPr>
                <w:b/>
                <w:sz w:val="24"/>
                <w:szCs w:val="24"/>
              </w:rPr>
            </w:pPr>
            <w:r w:rsidRPr="001F2687">
              <w:rPr>
                <w:rFonts w:hint="eastAsia"/>
                <w:b/>
                <w:sz w:val="24"/>
                <w:szCs w:val="24"/>
              </w:rPr>
              <w:t>所有权</w:t>
            </w:r>
          </w:p>
        </w:tc>
        <w:tc>
          <w:tcPr>
            <w:tcW w:w="5670" w:type="dxa"/>
            <w:gridSpan w:val="4"/>
            <w:vAlign w:val="center"/>
          </w:tcPr>
          <w:p w:rsidR="00FD53A4" w:rsidRPr="001F2687" w:rsidRDefault="00FD53A4" w:rsidP="004B7D50">
            <w:pPr>
              <w:rPr>
                <w:sz w:val="24"/>
                <w:szCs w:val="24"/>
              </w:rPr>
            </w:pPr>
          </w:p>
        </w:tc>
      </w:tr>
      <w:tr w:rsidR="00FD53A4" w:rsidRPr="001F2687" w:rsidTr="000C6E7E">
        <w:tc>
          <w:tcPr>
            <w:tcW w:w="1384" w:type="dxa"/>
            <w:vMerge/>
            <w:vAlign w:val="center"/>
          </w:tcPr>
          <w:p w:rsidR="00FD53A4" w:rsidRPr="001F2687" w:rsidRDefault="00FD53A4" w:rsidP="004B7D50">
            <w:pPr>
              <w:rPr>
                <w:b/>
                <w:sz w:val="24"/>
                <w:szCs w:val="24"/>
              </w:rPr>
            </w:pPr>
          </w:p>
        </w:tc>
        <w:tc>
          <w:tcPr>
            <w:tcW w:w="1843" w:type="dxa"/>
            <w:vAlign w:val="center"/>
          </w:tcPr>
          <w:p w:rsidR="00FD53A4" w:rsidRPr="001F2687" w:rsidRDefault="00FD53A4" w:rsidP="004B7D50">
            <w:pPr>
              <w:rPr>
                <w:b/>
                <w:sz w:val="24"/>
                <w:szCs w:val="24"/>
              </w:rPr>
            </w:pPr>
            <w:r w:rsidRPr="001F2687">
              <w:rPr>
                <w:rFonts w:hint="eastAsia"/>
                <w:b/>
                <w:sz w:val="24"/>
                <w:szCs w:val="24"/>
              </w:rPr>
              <w:t>使用地点：</w:t>
            </w:r>
          </w:p>
        </w:tc>
        <w:tc>
          <w:tcPr>
            <w:tcW w:w="5670" w:type="dxa"/>
            <w:gridSpan w:val="4"/>
            <w:vAlign w:val="center"/>
          </w:tcPr>
          <w:p w:rsidR="00FD53A4" w:rsidRPr="001F2687" w:rsidRDefault="00FD53A4" w:rsidP="004B7D50">
            <w:pPr>
              <w:rPr>
                <w:sz w:val="24"/>
                <w:szCs w:val="24"/>
              </w:rPr>
            </w:pPr>
          </w:p>
        </w:tc>
      </w:tr>
      <w:tr w:rsidR="00FD53A4" w:rsidRPr="001F2687" w:rsidTr="000C6E7E">
        <w:tc>
          <w:tcPr>
            <w:tcW w:w="1384" w:type="dxa"/>
            <w:vAlign w:val="center"/>
          </w:tcPr>
          <w:p w:rsidR="00FD53A4" w:rsidRPr="001F2687" w:rsidRDefault="00FD53A4" w:rsidP="004B7D50">
            <w:pPr>
              <w:rPr>
                <w:b/>
                <w:sz w:val="24"/>
                <w:szCs w:val="24"/>
              </w:rPr>
            </w:pPr>
            <w:r w:rsidRPr="001F2687">
              <w:rPr>
                <w:rFonts w:hint="eastAsia"/>
                <w:b/>
                <w:sz w:val="24"/>
                <w:szCs w:val="24"/>
              </w:rPr>
              <w:t>资金来源：</w:t>
            </w:r>
          </w:p>
        </w:tc>
        <w:tc>
          <w:tcPr>
            <w:tcW w:w="2474" w:type="dxa"/>
            <w:gridSpan w:val="2"/>
            <w:vAlign w:val="center"/>
          </w:tcPr>
          <w:p w:rsidR="00FD53A4" w:rsidRPr="001F2687" w:rsidRDefault="00FD53A4" w:rsidP="004B7D50">
            <w:pPr>
              <w:rPr>
                <w:sz w:val="24"/>
                <w:szCs w:val="24"/>
              </w:rPr>
            </w:pPr>
          </w:p>
        </w:tc>
        <w:tc>
          <w:tcPr>
            <w:tcW w:w="2332" w:type="dxa"/>
            <w:gridSpan w:val="2"/>
            <w:vAlign w:val="center"/>
          </w:tcPr>
          <w:p w:rsidR="00FD53A4" w:rsidRPr="001F2687" w:rsidRDefault="00FD53A4" w:rsidP="004B7D50">
            <w:pPr>
              <w:rPr>
                <w:sz w:val="24"/>
                <w:szCs w:val="24"/>
              </w:rPr>
            </w:pPr>
            <w:r w:rsidRPr="001F2687">
              <w:rPr>
                <w:rFonts w:hint="eastAsia"/>
                <w:sz w:val="24"/>
                <w:szCs w:val="24"/>
              </w:rPr>
              <w:t>是否进行融资租赁、贷款抵押：</w:t>
            </w:r>
          </w:p>
        </w:tc>
        <w:tc>
          <w:tcPr>
            <w:tcW w:w="2707" w:type="dxa"/>
            <w:vAlign w:val="center"/>
          </w:tcPr>
          <w:p w:rsidR="00FD53A4" w:rsidRPr="001F2687" w:rsidRDefault="00FD53A4" w:rsidP="004B7D50">
            <w:pPr>
              <w:rPr>
                <w:sz w:val="24"/>
                <w:szCs w:val="24"/>
              </w:rPr>
            </w:pPr>
            <w:r w:rsidRPr="001F2687">
              <w:rPr>
                <w:rFonts w:hint="eastAsia"/>
                <w:sz w:val="24"/>
                <w:szCs w:val="24"/>
              </w:rPr>
              <w:t>否</w:t>
            </w:r>
          </w:p>
        </w:tc>
      </w:tr>
      <w:tr w:rsidR="00FD53A4" w:rsidRPr="001F2687" w:rsidTr="000C6E7E">
        <w:tc>
          <w:tcPr>
            <w:tcW w:w="8897" w:type="dxa"/>
            <w:gridSpan w:val="6"/>
            <w:vAlign w:val="center"/>
          </w:tcPr>
          <w:p w:rsidR="00FD53A4" w:rsidRPr="001F2687" w:rsidRDefault="00FD53A4" w:rsidP="004B7D50">
            <w:pPr>
              <w:rPr>
                <w:b/>
                <w:sz w:val="24"/>
                <w:szCs w:val="24"/>
              </w:rPr>
            </w:pPr>
            <w:r w:rsidRPr="001F2687">
              <w:rPr>
                <w:rFonts w:hint="eastAsia"/>
                <w:b/>
                <w:sz w:val="24"/>
                <w:szCs w:val="24"/>
              </w:rPr>
              <w:t>在科教用品政策中的出处：</w:t>
            </w:r>
          </w:p>
          <w:p w:rsidR="00FD53A4" w:rsidRPr="001F2687" w:rsidRDefault="00FD53A4" w:rsidP="004B7D50">
            <w:pPr>
              <w:rPr>
                <w:sz w:val="24"/>
                <w:szCs w:val="24"/>
              </w:rPr>
            </w:pPr>
            <w:r w:rsidRPr="001F2687">
              <w:rPr>
                <w:rFonts w:hint="eastAsia"/>
                <w:sz w:val="24"/>
                <w:szCs w:val="24"/>
              </w:rPr>
              <w:t>2007</w:t>
            </w:r>
            <w:r w:rsidRPr="001F2687">
              <w:rPr>
                <w:rFonts w:hint="eastAsia"/>
                <w:sz w:val="24"/>
                <w:szCs w:val="24"/>
              </w:rPr>
              <w:t>年第</w:t>
            </w:r>
            <w:r w:rsidRPr="001F2687">
              <w:rPr>
                <w:rFonts w:hint="eastAsia"/>
                <w:sz w:val="24"/>
                <w:szCs w:val="24"/>
              </w:rPr>
              <w:t>13</w:t>
            </w:r>
            <w:r w:rsidRPr="001F2687">
              <w:rPr>
                <w:rFonts w:hint="eastAsia"/>
                <w:sz w:val="24"/>
                <w:szCs w:val="24"/>
              </w:rPr>
              <w:t>号海关总署公告文件《附件</w:t>
            </w:r>
            <w:r w:rsidRPr="001F2687">
              <w:rPr>
                <w:rFonts w:hint="eastAsia"/>
                <w:sz w:val="24"/>
                <w:szCs w:val="24"/>
              </w:rPr>
              <w:t xml:space="preserve">1 </w:t>
            </w:r>
            <w:r w:rsidRPr="001F2687">
              <w:rPr>
                <w:rFonts w:hint="eastAsia"/>
                <w:sz w:val="24"/>
                <w:szCs w:val="24"/>
              </w:rPr>
              <w:t>为科学研究教学和科技开发提供必要条件的实验设备、装置和器械（不包括中试设备）》二、样品制备设备和装置（四）分离、纯化、浓缩设备</w:t>
            </w:r>
          </w:p>
        </w:tc>
      </w:tr>
    </w:tbl>
    <w:p w:rsidR="004B7D50" w:rsidRDefault="004B7D50">
      <w:r w:rsidRPr="00C82EE0">
        <w:rPr>
          <w:rFonts w:hint="eastAsia"/>
          <w:sz w:val="28"/>
          <w:szCs w:val="28"/>
        </w:rPr>
        <w:t>单位签章：</w:t>
      </w:r>
    </w:p>
    <w:sectPr w:rsidR="004B7D50" w:rsidSect="00635025">
      <w:pgSz w:w="11906" w:h="16838"/>
      <w:pgMar w:top="1474" w:right="1474" w:bottom="1440"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D50"/>
    <w:rsid w:val="000C6E7E"/>
    <w:rsid w:val="00115194"/>
    <w:rsid w:val="001F2687"/>
    <w:rsid w:val="004B7D50"/>
    <w:rsid w:val="00635025"/>
    <w:rsid w:val="007958BE"/>
    <w:rsid w:val="0092644C"/>
    <w:rsid w:val="00D506B2"/>
    <w:rsid w:val="00DB75AF"/>
    <w:rsid w:val="00FD5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w:basedOn w:val="a"/>
    <w:semiHidden/>
    <w:rsid w:val="004B7D50"/>
    <w:pPr>
      <w:widowControl/>
      <w:spacing w:after="160" w:line="240" w:lineRule="exact"/>
      <w:jc w:val="left"/>
    </w:pPr>
    <w:rPr>
      <w:rFonts w:ascii="Verdana" w:eastAsia="宋体" w:hAnsi="Verdana" w:cs="Times New Roman"/>
      <w:kern w:val="0"/>
      <w:sz w:val="20"/>
      <w:szCs w:val="20"/>
      <w:lang w:eastAsia="en-US"/>
    </w:rPr>
  </w:style>
  <w:style w:type="table" w:styleId="a3">
    <w:name w:val="Table Grid"/>
    <w:basedOn w:val="a1"/>
    <w:uiPriority w:val="59"/>
    <w:rsid w:val="004B7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w:basedOn w:val="a"/>
    <w:semiHidden/>
    <w:rsid w:val="004B7D50"/>
    <w:pPr>
      <w:widowControl/>
      <w:spacing w:after="160" w:line="240" w:lineRule="exact"/>
      <w:jc w:val="left"/>
    </w:pPr>
    <w:rPr>
      <w:rFonts w:ascii="Verdana" w:eastAsia="宋体" w:hAnsi="Verdana" w:cs="Times New Roman"/>
      <w:kern w:val="0"/>
      <w:sz w:val="20"/>
      <w:szCs w:val="20"/>
      <w:lang w:eastAsia="en-US"/>
    </w:rPr>
  </w:style>
  <w:style w:type="table" w:styleId="a3">
    <w:name w:val="Table Grid"/>
    <w:basedOn w:val="a1"/>
    <w:uiPriority w:val="59"/>
    <w:rsid w:val="004B7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1D013-03DF-478E-9809-F55046E06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sdj</dc:creator>
  <cp:lastModifiedBy>sdj</cp:lastModifiedBy>
  <cp:revision>4</cp:revision>
  <dcterms:created xsi:type="dcterms:W3CDTF">2019-12-30T05:36:00Z</dcterms:created>
  <dcterms:modified xsi:type="dcterms:W3CDTF">2019-12-30T08:24:00Z</dcterms:modified>
</cp:coreProperties>
</file>